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Rule="auto"/>
        <w:ind w:left="720" w:right="429"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END-OF-COURSE REPORT</w:t>
      </w:r>
    </w:p>
    <w:p w:rsidR="00000000" w:rsidDel="00000000" w:rsidP="00000000" w:rsidRDefault="00000000" w:rsidRPr="00000000" w14:paraId="00000002">
      <w:pPr>
        <w:spacing w:after="160" w:lineRule="auto"/>
        <w:ind w:left="720" w:right="429" w:firstLine="0"/>
        <w:jc w:val="righ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i w:val="1"/>
          <w:sz w:val="26"/>
          <w:szCs w:val="26"/>
          <w:rtl w:val="0"/>
        </w:rPr>
        <w:t xml:space="preserve">Student:</w:t>
      </w:r>
      <w:r w:rsidDel="00000000" w:rsidR="00000000" w:rsidRPr="00000000">
        <w:rPr>
          <w:rFonts w:ascii="Times New Roman" w:cs="Times New Roman" w:eastAsia="Times New Roman" w:hAnsi="Times New Roman"/>
          <w:i w:val="1"/>
          <w:sz w:val="26"/>
          <w:szCs w:val="26"/>
          <w:rtl w:val="0"/>
        </w:rPr>
        <w:t xml:space="preserve"> Lam Nhut Thinh</w:t>
      </w:r>
    </w:p>
    <w:p w:rsidR="00000000" w:rsidDel="00000000" w:rsidP="00000000" w:rsidRDefault="00000000" w:rsidRPr="00000000" w14:paraId="00000003">
      <w:pPr>
        <w:spacing w:after="160" w:lineRule="auto"/>
        <w:ind w:left="720" w:right="429" w:firstLine="0"/>
        <w:jc w:val="righ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i w:val="1"/>
          <w:sz w:val="26"/>
          <w:szCs w:val="26"/>
          <w:rtl w:val="0"/>
        </w:rPr>
        <w:t xml:space="preserve">Student ID:</w:t>
      </w:r>
      <w:r w:rsidDel="00000000" w:rsidR="00000000" w:rsidRPr="00000000">
        <w:rPr>
          <w:rFonts w:ascii="Times New Roman" w:cs="Times New Roman" w:eastAsia="Times New Roman" w:hAnsi="Times New Roman"/>
          <w:i w:val="1"/>
          <w:sz w:val="26"/>
          <w:szCs w:val="26"/>
          <w:rtl w:val="0"/>
        </w:rPr>
        <w:t xml:space="preserve"> K194141751</w:t>
      </w:r>
    </w:p>
    <w:p w:rsidR="00000000" w:rsidDel="00000000" w:rsidP="00000000" w:rsidRDefault="00000000" w:rsidRPr="00000000" w14:paraId="00000004">
      <w:pPr>
        <w:numPr>
          <w:ilvl w:val="0"/>
          <w:numId w:val="4"/>
        </w:numPr>
        <w:spacing w:after="160" w:lineRule="auto"/>
        <w:ind w:left="720" w:right="429"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Literature Review:</w:t>
      </w:r>
    </w:p>
    <w:p w:rsidR="00000000" w:rsidDel="00000000" w:rsidP="00000000" w:rsidRDefault="00000000" w:rsidRPr="00000000" w14:paraId="00000005">
      <w:pPr>
        <w:spacing w:after="160" w:lineRule="auto"/>
        <w:ind w:left="720" w:right="429"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 Cash holding:</w:t>
      </w:r>
    </w:p>
    <w:p w:rsidR="00000000" w:rsidDel="00000000" w:rsidP="00000000" w:rsidRDefault="00000000" w:rsidRPr="00000000" w14:paraId="00000006">
      <w:pPr>
        <w:spacing w:after="160" w:lineRule="auto"/>
        <w:ind w:left="720" w:right="429"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Cash holding is the amount of cash and cash equivalents held by the company.</w:t>
      </w:r>
    </w:p>
    <w:p w:rsidR="00000000" w:rsidDel="00000000" w:rsidP="00000000" w:rsidRDefault="00000000" w:rsidRPr="00000000" w14:paraId="00000007">
      <w:pPr>
        <w:spacing w:after="160" w:lineRule="auto"/>
        <w:ind w:left="720" w:right="429"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Author Komikos and colleagues (2018) with research paper “Corporate Cash Holdings in the Shipping Industry” believes that cash holding is essential to the company because the firm can eliminate the cost of liquidating assets by using the cash held in investment, etc. A. Herlambang (2019) stated that cash holding demonstrates the company’s ability to fulfill its obligations in a timely manner, so cash held is significant for the company.</w:t>
      </w:r>
    </w:p>
    <w:p w:rsidR="00000000" w:rsidDel="00000000" w:rsidP="00000000" w:rsidRDefault="00000000" w:rsidRPr="00000000" w14:paraId="00000008">
      <w:pPr>
        <w:spacing w:after="160" w:lineRule="auto"/>
        <w:ind w:left="720" w:right="429"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 Factors affecting the cash holding of the companies:</w:t>
      </w:r>
    </w:p>
    <w:p w:rsidR="00000000" w:rsidDel="00000000" w:rsidP="00000000" w:rsidRDefault="00000000" w:rsidRPr="00000000" w14:paraId="00000009">
      <w:pPr>
        <w:spacing w:after="160" w:lineRule="auto"/>
        <w:ind w:left="720" w:right="429"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According to Kim et al. (1998), high operating cash flow companies regularly tended to use internal cash, which means that they use cash to cover an external debt, this leads to low cash holdings.. Research paper “The Impact Of Cash Holding On Market Performance Of Listed Firms In The Vietnamese Stock Market”  by Do Thi Thanh Nhan, Pham Ha, Ngo Kim Thanh, Pavelkova Drahomira (2017) argues that firm size is inversely proportional to the firm's cash holdings. Attaullah Shah (2011) demonstrates that growing firms, large firms, companies with high cash inflows will have larger cash holdings and </w:t>
      </w:r>
      <w:r w:rsidDel="00000000" w:rsidR="00000000" w:rsidRPr="00000000">
        <w:rPr>
          <w:rFonts w:ascii="Times New Roman" w:cs="Times New Roman" w:eastAsia="Times New Roman" w:hAnsi="Times New Roman"/>
          <w:sz w:val="26"/>
          <w:szCs w:val="26"/>
          <w:rtl w:val="0"/>
        </w:rPr>
        <w:t xml:space="preserve">companies</w:t>
      </w:r>
      <w:r w:rsidDel="00000000" w:rsidR="00000000" w:rsidRPr="00000000">
        <w:rPr>
          <w:rFonts w:ascii="Times New Roman" w:cs="Times New Roman" w:eastAsia="Times New Roman" w:hAnsi="Times New Roman"/>
          <w:sz w:val="26"/>
          <w:szCs w:val="26"/>
          <w:rtl w:val="0"/>
        </w:rPr>
        <w:t xml:space="preserve"> with faster conversion cycles will have smaller cash holdings. Research “</w:t>
      </w:r>
      <w:hyperlink r:id="rId6">
        <w:r w:rsidDel="00000000" w:rsidR="00000000" w:rsidRPr="00000000">
          <w:rPr>
            <w:rFonts w:ascii="Times New Roman" w:cs="Times New Roman" w:eastAsia="Times New Roman" w:hAnsi="Times New Roman"/>
            <w:sz w:val="26"/>
            <w:szCs w:val="26"/>
            <w:rtl w:val="0"/>
          </w:rPr>
          <w:t xml:space="preserve">Corporate cash holdings: An empirical investigation of UK companies</w:t>
        </w:r>
      </w:hyperlink>
      <w:r w:rsidDel="00000000" w:rsidR="00000000" w:rsidRPr="00000000">
        <w:rPr>
          <w:rFonts w:ascii="Times New Roman" w:cs="Times New Roman" w:eastAsia="Times New Roman" w:hAnsi="Times New Roman"/>
          <w:sz w:val="26"/>
          <w:szCs w:val="26"/>
          <w:rtl w:val="0"/>
        </w:rPr>
        <w:t xml:space="preserve">” (2004) shows that firm leverage is inversely proportional to cash holding, firms with higher leverage will have lower cash holdings. Companies with high leverage will have higher interest costs leading to reduced cash holding capacity. Phung Anh Thu and Nguyen Vinh Khuong (2018) show a negative association between return on assets (ROA), operating cash flow and corporate cash holdings</w:t>
      </w:r>
    </w:p>
    <w:p w:rsidR="00000000" w:rsidDel="00000000" w:rsidP="00000000" w:rsidRDefault="00000000" w:rsidRPr="00000000" w14:paraId="0000000A">
      <w:pPr>
        <w:spacing w:after="160" w:lineRule="auto"/>
        <w:ind w:left="720" w:right="429"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1.3. Choose variables:</w:t>
      </w:r>
    </w:p>
    <w:p w:rsidR="00000000" w:rsidDel="00000000" w:rsidP="00000000" w:rsidRDefault="00000000" w:rsidRPr="00000000" w14:paraId="0000000B">
      <w:pPr>
        <w:spacing w:after="160" w:lineRule="auto"/>
        <w:ind w:left="720" w:right="429"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target variable is Cash Holding. This variable can be calculated by dividing cash and equivalents  by total assets.</w:t>
      </w:r>
    </w:p>
    <w:p w:rsidR="00000000" w:rsidDel="00000000" w:rsidP="00000000" w:rsidRDefault="00000000" w:rsidRPr="00000000" w14:paraId="0000000C">
      <w:pPr>
        <w:spacing w:after="160" w:lineRule="auto"/>
        <w:ind w:left="720" w:right="429"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D">
      <w:pPr>
        <w:spacing w:after="160" w:lineRule="auto"/>
        <w:ind w:left="720" w:right="429"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Based on the above researches and the dataset, I will choose three variables which can affect cash holding variable as follows:</w:t>
      </w:r>
    </w:p>
    <w:p w:rsidR="00000000" w:rsidDel="00000000" w:rsidP="00000000" w:rsidRDefault="00000000" w:rsidRPr="00000000" w14:paraId="0000000E">
      <w:pPr>
        <w:numPr>
          <w:ilvl w:val="0"/>
          <w:numId w:val="2"/>
        </w:numPr>
        <w:spacing w:after="0" w:afterAutospacing="0" w:lineRule="auto"/>
        <w:ind w:left="1440" w:right="429"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SIZE</w:t>
      </w:r>
      <w:r w:rsidDel="00000000" w:rsidR="00000000" w:rsidRPr="00000000">
        <w:rPr>
          <w:rFonts w:ascii="Times New Roman" w:cs="Times New Roman" w:eastAsia="Times New Roman" w:hAnsi="Times New Roman"/>
          <w:sz w:val="26"/>
          <w:szCs w:val="26"/>
          <w:rtl w:val="0"/>
        </w:rPr>
        <w:t xml:space="preserve">: Firm size. I will calculate the size of the given firms based on their total assets. According to Attaullah Shah (2011), size is the natural log to total assets.</w:t>
      </w:r>
    </w:p>
    <w:p w:rsidR="00000000" w:rsidDel="00000000" w:rsidP="00000000" w:rsidRDefault="00000000" w:rsidRPr="00000000" w14:paraId="0000000F">
      <w:pPr>
        <w:numPr>
          <w:ilvl w:val="0"/>
          <w:numId w:val="2"/>
        </w:numPr>
        <w:spacing w:after="0" w:afterAutospacing="0" w:lineRule="auto"/>
        <w:ind w:left="1440" w:right="429"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ROA</w:t>
      </w:r>
      <w:r w:rsidDel="00000000" w:rsidR="00000000" w:rsidRPr="00000000">
        <w:rPr>
          <w:rFonts w:ascii="Times New Roman" w:cs="Times New Roman" w:eastAsia="Times New Roman" w:hAnsi="Times New Roman"/>
          <w:sz w:val="26"/>
          <w:szCs w:val="26"/>
          <w:rtl w:val="0"/>
        </w:rPr>
        <w:t xml:space="preserve">: Return on assets. ROA will be calculated by dividing net income  by total assets.</w:t>
      </w:r>
    </w:p>
    <w:p w:rsidR="00000000" w:rsidDel="00000000" w:rsidP="00000000" w:rsidRDefault="00000000" w:rsidRPr="00000000" w14:paraId="00000010">
      <w:pPr>
        <w:numPr>
          <w:ilvl w:val="0"/>
          <w:numId w:val="2"/>
        </w:numPr>
        <w:spacing w:after="0" w:afterAutospacing="0" w:lineRule="auto"/>
        <w:ind w:left="1440" w:right="429"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OCF</w:t>
      </w:r>
      <w:r w:rsidDel="00000000" w:rsidR="00000000" w:rsidRPr="00000000">
        <w:rPr>
          <w:rFonts w:ascii="Times New Roman" w:cs="Times New Roman" w:eastAsia="Times New Roman" w:hAnsi="Times New Roman"/>
          <w:sz w:val="26"/>
          <w:szCs w:val="26"/>
          <w:rtl w:val="0"/>
        </w:rPr>
        <w:t xml:space="preserve">: Operating Cash Flow. OCF will be calculated by dividing cash from operating activities by total assets.</w:t>
      </w:r>
    </w:p>
    <w:p w:rsidR="00000000" w:rsidDel="00000000" w:rsidP="00000000" w:rsidRDefault="00000000" w:rsidRPr="00000000" w14:paraId="00000011">
      <w:pPr>
        <w:numPr>
          <w:ilvl w:val="0"/>
          <w:numId w:val="4"/>
        </w:numPr>
        <w:spacing w:after="160" w:lineRule="auto"/>
        <w:ind w:left="720" w:right="429"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collection and input:</w:t>
      </w:r>
    </w:p>
    <w:p w:rsidR="00000000" w:rsidDel="00000000" w:rsidP="00000000" w:rsidRDefault="00000000" w:rsidRPr="00000000" w14:paraId="00000012">
      <w:pPr>
        <w:spacing w:after="160" w:lineRule="auto"/>
        <w:ind w:left="720" w:right="429"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excel file contains data of Toyota Motor Corporation from the beginning of 2012 to the end of 2021.</w:t>
      </w:r>
    </w:p>
    <w:p w:rsidR="00000000" w:rsidDel="00000000" w:rsidP="00000000" w:rsidRDefault="00000000" w:rsidRPr="00000000" w14:paraId="00000013">
      <w:pPr>
        <w:spacing w:after="160" w:lineRule="auto"/>
        <w:ind w:left="720" w:right="429"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I will import the dataset and rename the columns.</w:t>
      </w:r>
    </w:p>
    <w:p w:rsidR="00000000" w:rsidDel="00000000" w:rsidP="00000000" w:rsidRDefault="00000000" w:rsidRPr="00000000" w14:paraId="000000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14938" cy="3031700"/>
            <wp:effectExtent b="0" l="0" r="0" t="0"/>
            <wp:docPr id="9" name="image4.png"/>
            <a:graphic>
              <a:graphicData uri="http://schemas.openxmlformats.org/drawingml/2006/picture">
                <pic:pic>
                  <pic:nvPicPr>
                    <pic:cNvPr id="0" name="image4.png"/>
                    <pic:cNvPicPr preferRelativeResize="0"/>
                  </pic:nvPicPr>
                  <pic:blipFill>
                    <a:blip r:embed="rId7"/>
                    <a:srcRect b="44926" l="4983" r="57308" t="16166"/>
                    <a:stretch>
                      <a:fillRect/>
                    </a:stretch>
                  </pic:blipFill>
                  <pic:spPr>
                    <a:xfrm>
                      <a:off x="0" y="0"/>
                      <a:ext cx="5214938" cy="30317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raw data has the following form:</w:t>
      </w:r>
    </w:p>
    <w:p w:rsidR="00000000" w:rsidDel="00000000" w:rsidP="00000000" w:rsidRDefault="00000000" w:rsidRPr="00000000" w14:paraId="00000017">
      <w:pPr>
        <w:ind w:left="-1417.32283464566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445256" cy="1143279"/>
            <wp:effectExtent b="0" l="0" r="0" t="0"/>
            <wp:docPr id="8" name="image18.png"/>
            <a:graphic>
              <a:graphicData uri="http://schemas.openxmlformats.org/drawingml/2006/picture">
                <pic:pic>
                  <pic:nvPicPr>
                    <pic:cNvPr id="0" name="image18.png"/>
                    <pic:cNvPicPr preferRelativeResize="0"/>
                  </pic:nvPicPr>
                  <pic:blipFill>
                    <a:blip r:embed="rId8"/>
                    <a:srcRect b="66498" l="6803" r="830" t="8407"/>
                    <a:stretch>
                      <a:fillRect/>
                    </a:stretch>
                  </pic:blipFill>
                  <pic:spPr>
                    <a:xfrm>
                      <a:off x="0" y="0"/>
                      <a:ext cx="7445256" cy="1143279"/>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1417.3228346456694"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ind w:left="-1417.3228346456694"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Then I will select and calculate necessary variables and assign all those information to a new variable data_final. </w:t>
      </w:r>
    </w:p>
    <w:p w:rsidR="00000000" w:rsidDel="00000000" w:rsidP="00000000" w:rsidRDefault="00000000" w:rsidRPr="00000000" w14:paraId="0000001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59043" cy="1120780"/>
            <wp:effectExtent b="0" l="0" r="0" t="0"/>
            <wp:docPr id="17" name="image11.png"/>
            <a:graphic>
              <a:graphicData uri="http://schemas.openxmlformats.org/drawingml/2006/picture">
                <pic:pic>
                  <pic:nvPicPr>
                    <pic:cNvPr id="0" name="image11.png"/>
                    <pic:cNvPicPr preferRelativeResize="0"/>
                  </pic:nvPicPr>
                  <pic:blipFill>
                    <a:blip r:embed="rId9"/>
                    <a:srcRect b="47410" l="5149" r="34053" t="29547"/>
                    <a:stretch>
                      <a:fillRect/>
                    </a:stretch>
                  </pic:blipFill>
                  <pic:spPr>
                    <a:xfrm>
                      <a:off x="0" y="0"/>
                      <a:ext cx="5259043" cy="112078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that I will define the Covid variable. We all know that the Covid - 19 pandemic appeared in early 2020 so the Covid variable will equal to 1 if it belongs to the period after 2019. Then I will format the time and the data frame for easier reading. </w:t>
      </w:r>
    </w:p>
    <w:p w:rsidR="00000000" w:rsidDel="00000000" w:rsidP="00000000" w:rsidRDefault="00000000" w:rsidRPr="00000000" w14:paraId="000000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29225" cy="2187063"/>
            <wp:effectExtent b="0" l="0" r="0" t="0"/>
            <wp:docPr id="1" name="image13.png"/>
            <a:graphic>
              <a:graphicData uri="http://schemas.openxmlformats.org/drawingml/2006/picture">
                <pic:pic>
                  <pic:nvPicPr>
                    <pic:cNvPr id="0" name="image13.png"/>
                    <pic:cNvPicPr preferRelativeResize="0"/>
                  </pic:nvPicPr>
                  <pic:blipFill>
                    <a:blip r:embed="rId10"/>
                    <a:srcRect b="38643" l="5315" r="45847" t="25155"/>
                    <a:stretch>
                      <a:fillRect/>
                    </a:stretch>
                  </pic:blipFill>
                  <pic:spPr>
                    <a:xfrm>
                      <a:off x="0" y="0"/>
                      <a:ext cx="5229225" cy="218706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 xml:space="preserve">After formatting, the data frame will look like this:</w:t>
      </w:r>
    </w:p>
    <w:p w:rsidR="00000000" w:rsidDel="00000000" w:rsidP="00000000" w:rsidRDefault="00000000" w:rsidRPr="00000000" w14:paraId="000000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33988" cy="2902258"/>
            <wp:effectExtent b="0" l="0" r="0" t="0"/>
            <wp:docPr id="11" name="image6.png"/>
            <a:graphic>
              <a:graphicData uri="http://schemas.openxmlformats.org/drawingml/2006/picture">
                <pic:pic>
                  <pic:nvPicPr>
                    <pic:cNvPr id="0" name="image6.png"/>
                    <pic:cNvPicPr preferRelativeResize="0"/>
                  </pic:nvPicPr>
                  <pic:blipFill>
                    <a:blip r:embed="rId11"/>
                    <a:srcRect b="49093" l="2170" r="62259" t="16036"/>
                    <a:stretch>
                      <a:fillRect/>
                    </a:stretch>
                  </pic:blipFill>
                  <pic:spPr>
                    <a:xfrm>
                      <a:off x="0" y="0"/>
                      <a:ext cx="5233988" cy="290225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Finally I will split the data frame into two parts (before 2020 and after 2020).</w:t>
      </w:r>
    </w:p>
    <w:p w:rsidR="00000000" w:rsidDel="00000000" w:rsidP="00000000" w:rsidRDefault="00000000" w:rsidRPr="00000000" w14:paraId="000000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38750" cy="1082714"/>
            <wp:effectExtent b="0" l="0" r="0" t="0"/>
            <wp:docPr id="12" name="image15.png"/>
            <a:graphic>
              <a:graphicData uri="http://schemas.openxmlformats.org/drawingml/2006/picture">
                <pic:pic>
                  <pic:nvPicPr>
                    <pic:cNvPr id="0" name="image15.png"/>
                    <pic:cNvPicPr preferRelativeResize="0"/>
                  </pic:nvPicPr>
                  <pic:blipFill>
                    <a:blip r:embed="rId12"/>
                    <a:srcRect b="46064" l="4817" r="49169" t="36993"/>
                    <a:stretch>
                      <a:fillRect/>
                    </a:stretch>
                  </pic:blipFill>
                  <pic:spPr>
                    <a:xfrm>
                      <a:off x="0" y="0"/>
                      <a:ext cx="5238750" cy="108271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8">
      <w:pPr>
        <w:numPr>
          <w:ilvl w:val="0"/>
          <w:numId w:val="4"/>
        </w:numPr>
        <w:ind w:left="70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Provide descriptive statistics of all the variables for BEFORE and AFTER periods:</w:t>
      </w:r>
    </w:p>
    <w:p w:rsidR="00000000" w:rsidDel="00000000" w:rsidP="00000000" w:rsidRDefault="00000000" w:rsidRPr="00000000" w14:paraId="0000002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Before 2020:</w:t>
      </w:r>
    </w:p>
    <w:p w:rsidR="00000000" w:rsidDel="00000000" w:rsidP="00000000" w:rsidRDefault="00000000" w:rsidRPr="00000000" w14:paraId="000000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67325" cy="1156212"/>
            <wp:effectExtent b="0" l="0" r="0" t="0"/>
            <wp:docPr id="14" name="image17.png"/>
            <a:graphic>
              <a:graphicData uri="http://schemas.openxmlformats.org/drawingml/2006/picture">
                <pic:pic>
                  <pic:nvPicPr>
                    <pic:cNvPr id="0" name="image17.png"/>
                    <pic:cNvPicPr preferRelativeResize="0"/>
                  </pic:nvPicPr>
                  <pic:blipFill>
                    <a:blip r:embed="rId13"/>
                    <a:srcRect b="20950" l="830" r="54983" t="61884"/>
                    <a:stretch>
                      <a:fillRect/>
                    </a:stretch>
                  </pic:blipFill>
                  <pic:spPr>
                    <a:xfrm>
                      <a:off x="0" y="0"/>
                      <a:ext cx="5267325" cy="1156212"/>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2020:</w:t>
      </w:r>
    </w:p>
    <w:p w:rsidR="00000000" w:rsidDel="00000000" w:rsidP="00000000" w:rsidRDefault="00000000" w:rsidRPr="00000000" w14:paraId="000000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05425" cy="1133086"/>
            <wp:effectExtent b="0" l="0" r="0" t="0"/>
            <wp:docPr id="5" name="image8.png"/>
            <a:graphic>
              <a:graphicData uri="http://schemas.openxmlformats.org/drawingml/2006/picture">
                <pic:pic>
                  <pic:nvPicPr>
                    <pic:cNvPr id="0" name="image8.png"/>
                    <pic:cNvPicPr preferRelativeResize="0"/>
                  </pic:nvPicPr>
                  <pic:blipFill>
                    <a:blip r:embed="rId14"/>
                    <a:srcRect b="9583" l="830" r="54485" t="73400"/>
                    <a:stretch>
                      <a:fillRect/>
                    </a:stretch>
                  </pic:blipFill>
                  <pic:spPr>
                    <a:xfrm>
                      <a:off x="0" y="0"/>
                      <a:ext cx="5305425" cy="113308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ROA tends to decrease when the covid 19 pandemic occurs (the mean ROA after 2020 is smaller than before 2020). ROA has more volatility during pandemic (post-pandemic standard deviation is larger than pre-pandemic). Due to the Covid - 19 pandemic, business activities were quite stalled, so it is understandable that Toyota's return on assets will decline and fluctuate.</w:t>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OCF also shows a similar trend with ROA when the mean of OCF before pandemic is greater than after pandemic. The only difference is that OCF became less volatile when the covid pandemic </w:t>
      </w:r>
      <w:r w:rsidDel="00000000" w:rsidR="00000000" w:rsidRPr="00000000">
        <w:rPr>
          <w:rFonts w:ascii="Times New Roman" w:cs="Times New Roman" w:eastAsia="Times New Roman" w:hAnsi="Times New Roman"/>
          <w:sz w:val="26"/>
          <w:szCs w:val="26"/>
          <w:rtl w:val="0"/>
        </w:rPr>
        <w:t xml:space="preserve">appear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impact of covid 19 on Cash Holding is the most obvious. Cash Holding tends to increase quite quickly when the pandemic occurs (most of the statistics are almost doubled). Business activities were halted during the pandemic, leading to frozen cash flow in the business, so the cash holding ratio increased.</w:t>
      </w:r>
    </w:p>
    <w:p w:rsidR="00000000" w:rsidDel="00000000" w:rsidP="00000000" w:rsidRDefault="00000000" w:rsidRPr="00000000" w14:paraId="000000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covid 19 pandemic has caused certain impacts on businesses and their financial ratios.</w:t>
      </w:r>
    </w:p>
    <w:p w:rsidR="00000000" w:rsidDel="00000000" w:rsidP="00000000" w:rsidRDefault="00000000" w:rsidRPr="00000000" w14:paraId="00000034">
      <w:pPr>
        <w:numPr>
          <w:ilvl w:val="0"/>
          <w:numId w:val="4"/>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Provide box &amp; whisker plot and histogram of the variable of assigned topic (for the entire period):</w:t>
      </w:r>
    </w:p>
    <w:p w:rsidR="00000000" w:rsidDel="00000000" w:rsidP="00000000" w:rsidRDefault="00000000" w:rsidRPr="00000000" w14:paraId="0000003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848225" cy="3829050"/>
            <wp:effectExtent b="0" l="0" r="0" t="0"/>
            <wp:docPr id="6"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848225"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histogram plot of cash holding is not really pretty and clear so I will draw the density plot for a better look.</w:t>
      </w:r>
    </w:p>
    <w:p w:rsidR="00000000" w:rsidDel="00000000" w:rsidP="00000000" w:rsidRDefault="00000000" w:rsidRPr="00000000" w14:paraId="0000003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48225" cy="3829050"/>
            <wp:effectExtent b="0" l="0" r="0" t="0"/>
            <wp:docPr id="22"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4848225"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distribution of cash holding is slightly skewed to the left. Most of the time Toyota has a cash holding ratio between 5% and 7%.</w:t>
      </w:r>
    </w:p>
    <w:p w:rsidR="00000000" w:rsidDel="00000000" w:rsidP="00000000" w:rsidRDefault="00000000" w:rsidRPr="00000000" w14:paraId="0000003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48225" cy="3829050"/>
            <wp:effectExtent b="0" l="0" r="0" t="0"/>
            <wp:docPr id="16"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848225"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box plot also shows that the cash holding data is skewed to the left. Observations between the first and median quartiles (about 25% of the data) range in value from more than 5% to 6%. There was a quarter where Toyota had an unusually high cash holding ratio of 12%, which is shown by the outlier value on the box plot.</w:t>
      </w:r>
    </w:p>
    <w:p w:rsidR="00000000" w:rsidDel="00000000" w:rsidP="00000000" w:rsidRDefault="00000000" w:rsidRPr="00000000" w14:paraId="0000003C">
      <w:pPr>
        <w:numPr>
          <w:ilvl w:val="0"/>
          <w:numId w:val="4"/>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Perform multiple regression to determine the significant determinants of the variable of assigned topic. The significance level is 10%. There are 2 models to run: </w:t>
      </w:r>
    </w:p>
    <w:p w:rsidR="00000000" w:rsidDel="00000000" w:rsidP="00000000" w:rsidRDefault="00000000" w:rsidRPr="00000000" w14:paraId="0000003D">
      <w:pPr>
        <w:ind w:left="283.4645669291337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5.1. With the usual individual variables (model 1):</w:t>
      </w:r>
    </w:p>
    <w:p w:rsidR="00000000" w:rsidDel="00000000" w:rsidP="00000000" w:rsidRDefault="00000000" w:rsidRPr="00000000" w14:paraId="0000003E">
      <w:pPr>
        <w:ind w:left="283.4645669291337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19700" cy="3314700"/>
            <wp:effectExtent b="0" l="0" r="0" t="0"/>
            <wp:docPr id="23" name="image22.png"/>
            <a:graphic>
              <a:graphicData uri="http://schemas.openxmlformats.org/drawingml/2006/picture">
                <pic:pic>
                  <pic:nvPicPr>
                    <pic:cNvPr id="0" name="image22.png"/>
                    <pic:cNvPicPr preferRelativeResize="0"/>
                  </pic:nvPicPr>
                  <pic:blipFill>
                    <a:blip r:embed="rId18"/>
                    <a:srcRect b="11348" l="702" r="51162" t="34394"/>
                    <a:stretch>
                      <a:fillRect/>
                    </a:stretch>
                  </pic:blipFill>
                  <pic:spPr>
                    <a:xfrm>
                      <a:off x="0" y="0"/>
                      <a:ext cx="52197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283.46456692913375"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0">
      <w:pPr>
        <w:ind w:left="283.46456692913375" w:firstLine="0"/>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u w:val="single"/>
          <w:rtl w:val="0"/>
        </w:rPr>
        <w:t xml:space="preserve">R-squared:</w:t>
      </w:r>
    </w:p>
    <w:p w:rsidR="00000000" w:rsidDel="00000000" w:rsidP="00000000" w:rsidRDefault="00000000" w:rsidRPr="00000000" w14:paraId="00000041">
      <w:pPr>
        <w:ind w:left="283.46456692913375" w:firstLine="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The R</w:t>
      </w:r>
      <w:r w:rsidDel="00000000" w:rsidR="00000000" w:rsidRPr="00000000">
        <w:rPr>
          <w:rFonts w:ascii="Times New Roman" w:cs="Times New Roman" w:eastAsia="Times New Roman" w:hAnsi="Times New Roman"/>
          <w:color w:val="111111"/>
          <w:sz w:val="26"/>
          <w:szCs w:val="26"/>
          <w:highlight w:val="white"/>
          <w:vertAlign w:val="superscript"/>
          <w:rtl w:val="0"/>
        </w:rPr>
        <w:t xml:space="preserve">2</w:t>
      </w:r>
      <w:r w:rsidDel="00000000" w:rsidR="00000000" w:rsidRPr="00000000">
        <w:rPr>
          <w:rFonts w:ascii="Times New Roman" w:cs="Times New Roman" w:eastAsia="Times New Roman" w:hAnsi="Times New Roman"/>
          <w:color w:val="111111"/>
          <w:sz w:val="26"/>
          <w:szCs w:val="26"/>
          <w:highlight w:val="white"/>
          <w:rtl w:val="0"/>
        </w:rPr>
        <w:t xml:space="preserve"> of a model is 0.6787, then approximately 67.87% of the variance for Cash Holding can be explained by ROA, Size and OCF.</w:t>
      </w:r>
    </w:p>
    <w:p w:rsidR="00000000" w:rsidDel="00000000" w:rsidP="00000000" w:rsidRDefault="00000000" w:rsidRPr="00000000" w14:paraId="00000042">
      <w:pPr>
        <w:ind w:left="283.46456692913375" w:firstLine="0"/>
        <w:rPr>
          <w:rFonts w:ascii="Times New Roman" w:cs="Times New Roman" w:eastAsia="Times New Roman" w:hAnsi="Times New Roman"/>
          <w:i w:val="1"/>
          <w:color w:val="111111"/>
          <w:sz w:val="26"/>
          <w:szCs w:val="26"/>
          <w:highlight w:val="white"/>
          <w:u w:val="single"/>
        </w:rPr>
      </w:pPr>
      <w:r w:rsidDel="00000000" w:rsidR="00000000" w:rsidRPr="00000000">
        <w:rPr>
          <w:rFonts w:ascii="Times New Roman" w:cs="Times New Roman" w:eastAsia="Times New Roman" w:hAnsi="Times New Roman"/>
          <w:i w:val="1"/>
          <w:color w:val="111111"/>
          <w:sz w:val="26"/>
          <w:szCs w:val="26"/>
          <w:highlight w:val="white"/>
          <w:u w:val="single"/>
          <w:rtl w:val="0"/>
        </w:rPr>
        <w:t xml:space="preserve">Coefficients:</w:t>
      </w:r>
    </w:p>
    <w:p w:rsidR="00000000" w:rsidDel="00000000" w:rsidP="00000000" w:rsidRDefault="00000000" w:rsidRPr="00000000" w14:paraId="00000043">
      <w:pPr>
        <w:numPr>
          <w:ilvl w:val="0"/>
          <w:numId w:val="3"/>
        </w:numPr>
        <w:ind w:left="72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With no other factors, the cash holding ratio is -1.709381.</w:t>
      </w:r>
    </w:p>
    <w:p w:rsidR="00000000" w:rsidDel="00000000" w:rsidP="00000000" w:rsidRDefault="00000000" w:rsidRPr="00000000" w14:paraId="00000044">
      <w:pPr>
        <w:numPr>
          <w:ilvl w:val="0"/>
          <w:numId w:val="1"/>
        </w:numPr>
        <w:ind w:left="72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When the variable ROA increases by 1 unit, the Cash Holding  variable will decrease by 2.185982 units.</w:t>
      </w:r>
    </w:p>
    <w:p w:rsidR="00000000" w:rsidDel="00000000" w:rsidP="00000000" w:rsidRDefault="00000000" w:rsidRPr="00000000" w14:paraId="00000045">
      <w:pPr>
        <w:numPr>
          <w:ilvl w:val="0"/>
          <w:numId w:val="1"/>
        </w:numPr>
        <w:ind w:left="72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When the variable Size increases by 1 unit, the Cash Holding  variable will increase by 0.057442 units.</w:t>
      </w:r>
    </w:p>
    <w:p w:rsidR="00000000" w:rsidDel="00000000" w:rsidP="00000000" w:rsidRDefault="00000000" w:rsidRPr="00000000" w14:paraId="00000046">
      <w:pPr>
        <w:numPr>
          <w:ilvl w:val="0"/>
          <w:numId w:val="1"/>
        </w:numPr>
        <w:ind w:left="72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When the variable OCF increases by 1 unit, the Cash Holding  variable will decrease by 0.304611 units.</w:t>
      </w:r>
    </w:p>
    <w:p w:rsidR="00000000" w:rsidDel="00000000" w:rsidP="00000000" w:rsidRDefault="00000000" w:rsidRPr="00000000" w14:paraId="00000047">
      <w:pPr>
        <w:ind w:left="283.46456692913375" w:firstLine="0"/>
        <w:rPr>
          <w:rFonts w:ascii="Times New Roman" w:cs="Times New Roman" w:eastAsia="Times New Roman" w:hAnsi="Times New Roman"/>
          <w:i w:val="1"/>
          <w:color w:val="111111"/>
          <w:sz w:val="26"/>
          <w:szCs w:val="26"/>
          <w:highlight w:val="white"/>
          <w:u w:val="single"/>
        </w:rPr>
      </w:pPr>
      <w:r w:rsidDel="00000000" w:rsidR="00000000" w:rsidRPr="00000000">
        <w:rPr>
          <w:rFonts w:ascii="Times New Roman" w:cs="Times New Roman" w:eastAsia="Times New Roman" w:hAnsi="Times New Roman"/>
          <w:i w:val="1"/>
          <w:color w:val="111111"/>
          <w:sz w:val="26"/>
          <w:szCs w:val="26"/>
          <w:highlight w:val="white"/>
          <w:u w:val="single"/>
          <w:rtl w:val="0"/>
        </w:rPr>
        <w:t xml:space="preserve">Coefficient p-value:</w:t>
      </w:r>
    </w:p>
    <w:p w:rsidR="00000000" w:rsidDel="00000000" w:rsidP="00000000" w:rsidRDefault="00000000" w:rsidRPr="00000000" w14:paraId="00000048">
      <w:pPr>
        <w:ind w:left="283.46456692913375" w:firstLine="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p-value of all coefficients are less than significance level (10%), so all coefficients are statistically significant.</w:t>
      </w:r>
    </w:p>
    <w:p w:rsidR="00000000" w:rsidDel="00000000" w:rsidP="00000000" w:rsidRDefault="00000000" w:rsidRPr="00000000" w14:paraId="00000049">
      <w:pPr>
        <w:ind w:left="283.46456692913375" w:firstLine="0"/>
        <w:rPr>
          <w:rFonts w:ascii="Times New Roman" w:cs="Times New Roman" w:eastAsia="Times New Roman" w:hAnsi="Times New Roman"/>
          <w:i w:val="1"/>
          <w:color w:val="111111"/>
          <w:sz w:val="26"/>
          <w:szCs w:val="26"/>
          <w:highlight w:val="white"/>
          <w:u w:val="single"/>
        </w:rPr>
      </w:pPr>
      <w:r w:rsidDel="00000000" w:rsidR="00000000" w:rsidRPr="00000000">
        <w:rPr>
          <w:rFonts w:ascii="Times New Roman" w:cs="Times New Roman" w:eastAsia="Times New Roman" w:hAnsi="Times New Roman"/>
          <w:i w:val="1"/>
          <w:color w:val="111111"/>
          <w:sz w:val="26"/>
          <w:szCs w:val="26"/>
          <w:highlight w:val="white"/>
          <w:u w:val="single"/>
          <w:rtl w:val="0"/>
        </w:rPr>
        <w:t xml:space="preserve">F-statistic p-value:</w:t>
      </w:r>
    </w:p>
    <w:p w:rsidR="00000000" w:rsidDel="00000000" w:rsidP="00000000" w:rsidRDefault="00000000" w:rsidRPr="00000000" w14:paraId="0000004A">
      <w:pPr>
        <w:ind w:left="283.46456692913375" w:firstLine="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p-value of F-statistic is less than  significance level (10%), so the model is significant.</w:t>
      </w:r>
    </w:p>
    <w:p w:rsidR="00000000" w:rsidDel="00000000" w:rsidP="00000000" w:rsidRDefault="00000000" w:rsidRPr="00000000" w14:paraId="0000004B">
      <w:pPr>
        <w:ind w:left="283.46456692913375" w:firstLine="0"/>
        <w:rPr>
          <w:rFonts w:ascii="Times New Roman" w:cs="Times New Roman" w:eastAsia="Times New Roman" w:hAnsi="Times New Roman"/>
          <w:b w:val="1"/>
          <w:color w:val="111111"/>
          <w:sz w:val="26"/>
          <w:szCs w:val="26"/>
          <w:highlight w:val="white"/>
        </w:rPr>
      </w:pPr>
      <w:r w:rsidDel="00000000" w:rsidR="00000000" w:rsidRPr="00000000">
        <w:rPr>
          <w:rFonts w:ascii="Times New Roman" w:cs="Times New Roman" w:eastAsia="Times New Roman" w:hAnsi="Times New Roman"/>
          <w:b w:val="1"/>
          <w:color w:val="111111"/>
          <w:sz w:val="26"/>
          <w:szCs w:val="26"/>
          <w:highlight w:val="white"/>
          <w:rtl w:val="0"/>
        </w:rPr>
        <w:t xml:space="preserve">5.2. With the usual individual variables and the interaction between Covid-19 dummy variable and the independent variables:</w:t>
      </w:r>
    </w:p>
    <w:p w:rsidR="00000000" w:rsidDel="00000000" w:rsidP="00000000" w:rsidRDefault="00000000" w:rsidRPr="00000000" w14:paraId="0000004C">
      <w:pPr>
        <w:ind w:left="283.46456692913375" w:firstLine="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First I will define and create the interaction between Covid-19 variable and the independent variables in the data frame.</w:t>
      </w:r>
    </w:p>
    <w:p w:rsidR="00000000" w:rsidDel="00000000" w:rsidP="00000000" w:rsidRDefault="00000000" w:rsidRPr="00000000" w14:paraId="0000004D">
      <w:pPr>
        <w:ind w:left="283.46456692913375" w:firstLine="0"/>
        <w:rPr>
          <w:rFonts w:ascii="Times New Roman" w:cs="Times New Roman" w:eastAsia="Times New Roman" w:hAnsi="Times New Roman"/>
          <w:b w:val="1"/>
          <w:color w:val="111111"/>
          <w:sz w:val="26"/>
          <w:szCs w:val="26"/>
          <w:highlight w:val="white"/>
        </w:rPr>
      </w:pPr>
      <w:r w:rsidDel="00000000" w:rsidR="00000000" w:rsidRPr="00000000">
        <w:rPr>
          <w:rFonts w:ascii="Times New Roman" w:cs="Times New Roman" w:eastAsia="Times New Roman" w:hAnsi="Times New Roman"/>
          <w:b w:val="1"/>
          <w:color w:val="111111"/>
          <w:sz w:val="26"/>
          <w:szCs w:val="26"/>
          <w:highlight w:val="white"/>
        </w:rPr>
        <w:drawing>
          <wp:inline distB="114300" distT="114300" distL="114300" distR="114300">
            <wp:extent cx="5215935" cy="779606"/>
            <wp:effectExtent b="0" l="0" r="0" t="0"/>
            <wp:docPr id="10" name="image7.png"/>
            <a:graphic>
              <a:graphicData uri="http://schemas.openxmlformats.org/drawingml/2006/picture">
                <pic:pic>
                  <pic:nvPicPr>
                    <pic:cNvPr id="0" name="image7.png"/>
                    <pic:cNvPicPr preferRelativeResize="0"/>
                  </pic:nvPicPr>
                  <pic:blipFill>
                    <a:blip r:embed="rId19"/>
                    <a:srcRect b="49667" l="4983" r="48338" t="37860"/>
                    <a:stretch>
                      <a:fillRect/>
                    </a:stretch>
                  </pic:blipFill>
                  <pic:spPr>
                    <a:xfrm>
                      <a:off x="0" y="0"/>
                      <a:ext cx="5215935" cy="779606"/>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283.46456692913375" w:firstLine="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Then I will run the model 2.</w:t>
      </w:r>
    </w:p>
    <w:p w:rsidR="00000000" w:rsidDel="00000000" w:rsidP="00000000" w:rsidRDefault="00000000" w:rsidRPr="00000000" w14:paraId="0000004F">
      <w:pPr>
        <w:ind w:left="283.46456692913375" w:firstLine="0"/>
        <w:rPr>
          <w:rFonts w:ascii="Times New Roman" w:cs="Times New Roman" w:eastAsia="Times New Roman" w:hAnsi="Times New Roman"/>
          <w:b w:val="1"/>
          <w:color w:val="111111"/>
          <w:sz w:val="26"/>
          <w:szCs w:val="26"/>
          <w:highlight w:val="white"/>
        </w:rPr>
      </w:pPr>
      <w:r w:rsidDel="00000000" w:rsidR="00000000" w:rsidRPr="00000000">
        <w:rPr>
          <w:rFonts w:ascii="Times New Roman" w:cs="Times New Roman" w:eastAsia="Times New Roman" w:hAnsi="Times New Roman"/>
          <w:b w:val="1"/>
          <w:color w:val="111111"/>
          <w:sz w:val="26"/>
          <w:szCs w:val="26"/>
          <w:highlight w:val="white"/>
        </w:rPr>
        <w:drawing>
          <wp:inline distB="114300" distT="114300" distL="114300" distR="114300">
            <wp:extent cx="5095875" cy="4048125"/>
            <wp:effectExtent b="0" l="0" r="0" t="0"/>
            <wp:docPr id="4" name="image2.png"/>
            <a:graphic>
              <a:graphicData uri="http://schemas.openxmlformats.org/drawingml/2006/picture">
                <pic:pic>
                  <pic:nvPicPr>
                    <pic:cNvPr id="0" name="image2.png"/>
                    <pic:cNvPicPr preferRelativeResize="0"/>
                  </pic:nvPicPr>
                  <pic:blipFill>
                    <a:blip r:embed="rId20"/>
                    <a:srcRect b="11614" l="953" r="52657" t="23008"/>
                    <a:stretch>
                      <a:fillRect/>
                    </a:stretch>
                  </pic:blipFill>
                  <pic:spPr>
                    <a:xfrm>
                      <a:off x="0" y="0"/>
                      <a:ext cx="5095875"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283.46456692913375" w:firstLine="0"/>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u w:val="single"/>
          <w:rtl w:val="0"/>
        </w:rPr>
        <w:t xml:space="preserve">R-squared:</w:t>
      </w:r>
    </w:p>
    <w:p w:rsidR="00000000" w:rsidDel="00000000" w:rsidP="00000000" w:rsidRDefault="00000000" w:rsidRPr="00000000" w14:paraId="00000051">
      <w:pPr>
        <w:ind w:left="283.46456692913375" w:firstLine="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The R</w:t>
      </w:r>
      <w:r w:rsidDel="00000000" w:rsidR="00000000" w:rsidRPr="00000000">
        <w:rPr>
          <w:rFonts w:ascii="Times New Roman" w:cs="Times New Roman" w:eastAsia="Times New Roman" w:hAnsi="Times New Roman"/>
          <w:color w:val="111111"/>
          <w:sz w:val="26"/>
          <w:szCs w:val="26"/>
          <w:highlight w:val="white"/>
          <w:vertAlign w:val="superscript"/>
          <w:rtl w:val="0"/>
        </w:rPr>
        <w:t xml:space="preserve">2</w:t>
      </w:r>
      <w:r w:rsidDel="00000000" w:rsidR="00000000" w:rsidRPr="00000000">
        <w:rPr>
          <w:rFonts w:ascii="Times New Roman" w:cs="Times New Roman" w:eastAsia="Times New Roman" w:hAnsi="Times New Roman"/>
          <w:color w:val="111111"/>
          <w:sz w:val="26"/>
          <w:szCs w:val="26"/>
          <w:highlight w:val="white"/>
          <w:rtl w:val="0"/>
        </w:rPr>
        <w:t xml:space="preserve"> of a model is 0.8107, then approximately 81.07% of the variance for Cash Holding can be explained by ROA, Size, OCF and the interaction between Covid-19 variable and the independent variables.</w:t>
      </w:r>
    </w:p>
    <w:p w:rsidR="00000000" w:rsidDel="00000000" w:rsidP="00000000" w:rsidRDefault="00000000" w:rsidRPr="00000000" w14:paraId="00000052">
      <w:pPr>
        <w:ind w:left="283.46456692913375" w:firstLine="0"/>
        <w:rPr>
          <w:rFonts w:ascii="Times New Roman" w:cs="Times New Roman" w:eastAsia="Times New Roman" w:hAnsi="Times New Roman"/>
          <w:i w:val="1"/>
          <w:color w:val="111111"/>
          <w:sz w:val="26"/>
          <w:szCs w:val="26"/>
          <w:highlight w:val="white"/>
          <w:u w:val="single"/>
        </w:rPr>
      </w:pPr>
      <w:r w:rsidDel="00000000" w:rsidR="00000000" w:rsidRPr="00000000">
        <w:rPr>
          <w:rFonts w:ascii="Times New Roman" w:cs="Times New Roman" w:eastAsia="Times New Roman" w:hAnsi="Times New Roman"/>
          <w:i w:val="1"/>
          <w:color w:val="111111"/>
          <w:sz w:val="26"/>
          <w:szCs w:val="26"/>
          <w:highlight w:val="white"/>
          <w:u w:val="single"/>
          <w:rtl w:val="0"/>
        </w:rPr>
        <w:t xml:space="preserve">Coefficients:</w:t>
      </w:r>
    </w:p>
    <w:p w:rsidR="00000000" w:rsidDel="00000000" w:rsidP="00000000" w:rsidRDefault="00000000" w:rsidRPr="00000000" w14:paraId="00000053">
      <w:pPr>
        <w:numPr>
          <w:ilvl w:val="0"/>
          <w:numId w:val="5"/>
        </w:numPr>
        <w:ind w:left="72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With no other factors, the cash holding ratio is -0.9856376.</w:t>
      </w:r>
    </w:p>
    <w:p w:rsidR="00000000" w:rsidDel="00000000" w:rsidP="00000000" w:rsidRDefault="00000000" w:rsidRPr="00000000" w14:paraId="00000054">
      <w:pPr>
        <w:numPr>
          <w:ilvl w:val="0"/>
          <w:numId w:val="1"/>
        </w:numPr>
        <w:ind w:left="72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When the variable ROA increases by 1 unit, the Cash Holding  variable will decrease by 1.1034390 units.</w:t>
      </w:r>
    </w:p>
    <w:p w:rsidR="00000000" w:rsidDel="00000000" w:rsidP="00000000" w:rsidRDefault="00000000" w:rsidRPr="00000000" w14:paraId="00000055">
      <w:pPr>
        <w:numPr>
          <w:ilvl w:val="0"/>
          <w:numId w:val="1"/>
        </w:numPr>
        <w:ind w:left="72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When the variable Size increases by 1 unit, the Cash Holding  variable will increase by 0.0337605 units.</w:t>
      </w:r>
    </w:p>
    <w:p w:rsidR="00000000" w:rsidDel="00000000" w:rsidP="00000000" w:rsidRDefault="00000000" w:rsidRPr="00000000" w14:paraId="00000056">
      <w:pPr>
        <w:numPr>
          <w:ilvl w:val="0"/>
          <w:numId w:val="1"/>
        </w:numPr>
        <w:ind w:left="72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When the variable OCF increases by 1 unit, the Cash Holding  variable will decrease by 0.1529226 units.</w:t>
      </w:r>
    </w:p>
    <w:p w:rsidR="00000000" w:rsidDel="00000000" w:rsidP="00000000" w:rsidRDefault="00000000" w:rsidRPr="00000000" w14:paraId="00000057">
      <w:pPr>
        <w:numPr>
          <w:ilvl w:val="0"/>
          <w:numId w:val="1"/>
        </w:numPr>
        <w:ind w:left="72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When Covid 19 happens and ROA increases by 1 unit, the Cash Holding ratio will decrease by 1.2840151 units more.</w:t>
      </w:r>
    </w:p>
    <w:p w:rsidR="00000000" w:rsidDel="00000000" w:rsidP="00000000" w:rsidRDefault="00000000" w:rsidRPr="00000000" w14:paraId="00000058">
      <w:pPr>
        <w:numPr>
          <w:ilvl w:val="0"/>
          <w:numId w:val="1"/>
        </w:numPr>
        <w:ind w:left="72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When Covid 19 happens and Size increases by 1 unit, the Cash Holding ratio will increase by 0.0014289 units more.</w:t>
      </w:r>
    </w:p>
    <w:p w:rsidR="00000000" w:rsidDel="00000000" w:rsidP="00000000" w:rsidRDefault="00000000" w:rsidRPr="00000000" w14:paraId="00000059">
      <w:pPr>
        <w:numPr>
          <w:ilvl w:val="0"/>
          <w:numId w:val="1"/>
        </w:numPr>
        <w:ind w:left="72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When Covid 19 happens and OCF increases by 1 unit, the Cash Holding ratio will decrease by 0.4298304 units more.</w:t>
      </w:r>
    </w:p>
    <w:p w:rsidR="00000000" w:rsidDel="00000000" w:rsidP="00000000" w:rsidRDefault="00000000" w:rsidRPr="00000000" w14:paraId="0000005A">
      <w:pPr>
        <w:ind w:left="283.46456692913375" w:firstLine="0"/>
        <w:rPr>
          <w:rFonts w:ascii="Times New Roman" w:cs="Times New Roman" w:eastAsia="Times New Roman" w:hAnsi="Times New Roman"/>
          <w:i w:val="1"/>
          <w:color w:val="111111"/>
          <w:sz w:val="26"/>
          <w:szCs w:val="26"/>
          <w:highlight w:val="white"/>
          <w:u w:val="single"/>
        </w:rPr>
      </w:pPr>
      <w:r w:rsidDel="00000000" w:rsidR="00000000" w:rsidRPr="00000000">
        <w:rPr>
          <w:rFonts w:ascii="Times New Roman" w:cs="Times New Roman" w:eastAsia="Times New Roman" w:hAnsi="Times New Roman"/>
          <w:i w:val="1"/>
          <w:color w:val="111111"/>
          <w:sz w:val="26"/>
          <w:szCs w:val="26"/>
          <w:highlight w:val="white"/>
          <w:u w:val="single"/>
          <w:rtl w:val="0"/>
        </w:rPr>
        <w:t xml:space="preserve">Coefficient p-value:</w:t>
      </w:r>
    </w:p>
    <w:p w:rsidR="00000000" w:rsidDel="00000000" w:rsidP="00000000" w:rsidRDefault="00000000" w:rsidRPr="00000000" w14:paraId="0000005B">
      <w:pPr>
        <w:ind w:left="283.46456692913375" w:firstLine="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p - value of variable ROA &amp; Covid is greater than significance level (10%), so variable ROA &amp; Covid is not statistically significant at 10% level. All other variables are significant at the 10% level (since their p-values are all less than 10%).</w:t>
      </w:r>
    </w:p>
    <w:p w:rsidR="00000000" w:rsidDel="00000000" w:rsidP="00000000" w:rsidRDefault="00000000" w:rsidRPr="00000000" w14:paraId="0000005C">
      <w:pPr>
        <w:ind w:left="283.46456692913375" w:firstLine="0"/>
        <w:rPr>
          <w:rFonts w:ascii="Times New Roman" w:cs="Times New Roman" w:eastAsia="Times New Roman" w:hAnsi="Times New Roman"/>
          <w:i w:val="1"/>
          <w:color w:val="111111"/>
          <w:sz w:val="26"/>
          <w:szCs w:val="26"/>
          <w:highlight w:val="white"/>
          <w:u w:val="single"/>
        </w:rPr>
      </w:pPr>
      <w:r w:rsidDel="00000000" w:rsidR="00000000" w:rsidRPr="00000000">
        <w:rPr>
          <w:rFonts w:ascii="Times New Roman" w:cs="Times New Roman" w:eastAsia="Times New Roman" w:hAnsi="Times New Roman"/>
          <w:i w:val="1"/>
          <w:color w:val="111111"/>
          <w:sz w:val="26"/>
          <w:szCs w:val="26"/>
          <w:highlight w:val="white"/>
          <w:u w:val="single"/>
          <w:rtl w:val="0"/>
        </w:rPr>
        <w:t xml:space="preserve">F-statistic p-value:</w:t>
      </w:r>
    </w:p>
    <w:p w:rsidR="00000000" w:rsidDel="00000000" w:rsidP="00000000" w:rsidRDefault="00000000" w:rsidRPr="00000000" w14:paraId="0000005D">
      <w:pPr>
        <w:ind w:left="283.46456692913375" w:firstLine="0"/>
        <w:rPr>
          <w:rFonts w:ascii="Times New Roman" w:cs="Times New Roman" w:eastAsia="Times New Roman" w:hAnsi="Times New Roman"/>
          <w:b w:val="1"/>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p-value of F-statistic is less than  significance level (10%), so the model is significant.</w:t>
      </w:r>
      <w:r w:rsidDel="00000000" w:rsidR="00000000" w:rsidRPr="00000000">
        <w:rPr>
          <w:rtl w:val="0"/>
        </w:rPr>
      </w:r>
    </w:p>
    <w:p w:rsidR="00000000" w:rsidDel="00000000" w:rsidP="00000000" w:rsidRDefault="00000000" w:rsidRPr="00000000" w14:paraId="0000005E">
      <w:pPr>
        <w:ind w:left="0" w:firstLine="0"/>
        <w:rPr>
          <w:rFonts w:ascii="Times New Roman" w:cs="Times New Roman" w:eastAsia="Times New Roman" w:hAnsi="Times New Roman"/>
          <w:color w:val="111111"/>
          <w:sz w:val="26"/>
          <w:szCs w:val="26"/>
          <w:highlight w:val="white"/>
        </w:rPr>
      </w:pPr>
      <w:r w:rsidDel="00000000" w:rsidR="00000000" w:rsidRPr="00000000">
        <w:rPr>
          <w:rtl w:val="0"/>
        </w:rPr>
      </w:r>
    </w:p>
    <w:p w:rsidR="00000000" w:rsidDel="00000000" w:rsidP="00000000" w:rsidRDefault="00000000" w:rsidRPr="00000000" w14:paraId="0000005F">
      <w:pPr>
        <w:ind w:left="283.46456692913375" w:firstLine="0"/>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5.3. Predict the value of the variable of assigned topic for all the quarters of the sample using Model:</w:t>
      </w:r>
    </w:p>
    <w:p w:rsidR="00000000" w:rsidDel="00000000" w:rsidP="00000000" w:rsidRDefault="00000000" w:rsidRPr="00000000" w14:paraId="00000060">
      <w:pPr>
        <w:ind w:left="283.46456692913375" w:firstLine="0"/>
        <w:rPr>
          <w:rFonts w:ascii="Times New Roman" w:cs="Times New Roman" w:eastAsia="Times New Roman" w:hAnsi="Times New Roman"/>
          <w:b w:val="1"/>
          <w:color w:val="222222"/>
          <w:sz w:val="26"/>
          <w:szCs w:val="26"/>
          <w:highlight w:val="white"/>
        </w:rPr>
      </w:pPr>
      <w:r w:rsidDel="00000000" w:rsidR="00000000" w:rsidRPr="00000000">
        <w:rPr>
          <w:rtl w:val="0"/>
        </w:rPr>
      </w:r>
    </w:p>
    <w:p w:rsidR="00000000" w:rsidDel="00000000" w:rsidP="00000000" w:rsidRDefault="00000000" w:rsidRPr="00000000" w14:paraId="00000061">
      <w:pPr>
        <w:ind w:left="283.46456692913375" w:firstLine="0"/>
        <w:rPr>
          <w:rFonts w:ascii="Times New Roman" w:cs="Times New Roman" w:eastAsia="Times New Roman" w:hAnsi="Times New Roman"/>
          <w:b w:val="1"/>
          <w:color w:val="222222"/>
          <w:sz w:val="26"/>
          <w:szCs w:val="26"/>
          <w:highlight w:val="white"/>
        </w:rPr>
      </w:pPr>
      <w:r w:rsidDel="00000000" w:rsidR="00000000" w:rsidRPr="00000000">
        <w:rPr>
          <w:rtl w:val="0"/>
        </w:rPr>
      </w:r>
    </w:p>
    <w:p w:rsidR="00000000" w:rsidDel="00000000" w:rsidP="00000000" w:rsidRDefault="00000000" w:rsidRPr="00000000" w14:paraId="00000062">
      <w:pPr>
        <w:ind w:left="283.46456692913375" w:firstLine="0"/>
        <w:jc w:val="center"/>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Pr>
        <w:drawing>
          <wp:inline distB="114300" distT="114300" distL="114300" distR="114300">
            <wp:extent cx="5448618" cy="522847"/>
            <wp:effectExtent b="0" l="0" r="0" t="0"/>
            <wp:docPr id="15" name="image16.png"/>
            <a:graphic>
              <a:graphicData uri="http://schemas.openxmlformats.org/drawingml/2006/picture">
                <pic:pic>
                  <pic:nvPicPr>
                    <pic:cNvPr id="0" name="image16.png"/>
                    <pic:cNvPicPr preferRelativeResize="0"/>
                  </pic:nvPicPr>
                  <pic:blipFill>
                    <a:blip r:embed="rId21"/>
                    <a:srcRect b="58194" l="5149" r="29069" t="30499"/>
                    <a:stretch>
                      <a:fillRect/>
                    </a:stretch>
                  </pic:blipFill>
                  <pic:spPr>
                    <a:xfrm>
                      <a:off x="0" y="0"/>
                      <a:ext cx="5448618" cy="52284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283.46456692913375"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The prediction will be shown as follows:</w:t>
      </w:r>
    </w:p>
    <w:p w:rsidR="00000000" w:rsidDel="00000000" w:rsidP="00000000" w:rsidRDefault="00000000" w:rsidRPr="00000000" w14:paraId="00000064">
      <w:pPr>
        <w:ind w:left="283.46456692913375" w:firstLine="0"/>
        <w:jc w:val="center"/>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Pr>
        <w:drawing>
          <wp:inline distB="114300" distT="114300" distL="114300" distR="114300">
            <wp:extent cx="1924050" cy="3939929"/>
            <wp:effectExtent b="0" l="0" r="0" t="0"/>
            <wp:docPr id="13" name="image1.png"/>
            <a:graphic>
              <a:graphicData uri="http://schemas.openxmlformats.org/drawingml/2006/picture">
                <pic:pic>
                  <pic:nvPicPr>
                    <pic:cNvPr id="0" name="image1.png"/>
                    <pic:cNvPicPr preferRelativeResize="0"/>
                  </pic:nvPicPr>
                  <pic:blipFill>
                    <a:blip r:embed="rId22"/>
                    <a:srcRect b="7158" l="830" r="80232" t="23792"/>
                    <a:stretch>
                      <a:fillRect/>
                    </a:stretch>
                  </pic:blipFill>
                  <pic:spPr>
                    <a:xfrm>
                      <a:off x="0" y="0"/>
                      <a:ext cx="1924050" cy="393992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4"/>
        </w:numPr>
        <w:ind w:left="720" w:hanging="360"/>
        <w:jc w:val="left"/>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Perform ARIMA model to predict the variable of interest for the 4 quarters in 2022 (if your data allows you to do so):</w:t>
      </w: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Assume that the significance level is 5%.</w:t>
      </w:r>
    </w:p>
    <w:p w:rsidR="00000000" w:rsidDel="00000000" w:rsidP="00000000" w:rsidRDefault="00000000" w:rsidRPr="00000000" w14:paraId="0000006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thing to do is check the stationary of Cash holding data by using ADF test:</w:t>
      </w:r>
    </w:p>
    <w:p w:rsidR="00000000" w:rsidDel="00000000" w:rsidP="00000000" w:rsidRDefault="00000000" w:rsidRPr="00000000" w14:paraId="0000006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52821" cy="1338263"/>
            <wp:effectExtent b="0" l="0" r="0" t="0"/>
            <wp:docPr id="7" name="image10.png"/>
            <a:graphic>
              <a:graphicData uri="http://schemas.openxmlformats.org/drawingml/2006/picture">
                <pic:pic>
                  <pic:nvPicPr>
                    <pic:cNvPr id="0" name="image10.png"/>
                    <pic:cNvPicPr preferRelativeResize="0"/>
                  </pic:nvPicPr>
                  <pic:blipFill>
                    <a:blip r:embed="rId23"/>
                    <a:srcRect b="10810" l="707" r="57807" t="71681"/>
                    <a:stretch>
                      <a:fillRect/>
                    </a:stretch>
                  </pic:blipFill>
                  <pic:spPr>
                    <a:xfrm>
                      <a:off x="0" y="0"/>
                      <a:ext cx="5652821" cy="133826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The p-value of the test is greater than 0.05 → the Cash holding data is non-stationary.</w:t>
      </w:r>
    </w:p>
    <w:p w:rsidR="00000000" w:rsidDel="00000000" w:rsidP="00000000" w:rsidRDefault="00000000" w:rsidRPr="00000000" w14:paraId="0000006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will calculate the difference level 1 to remove the trend and make the data stationary and then conduct the ADF test again.</w:t>
      </w:r>
    </w:p>
    <w:p w:rsidR="00000000" w:rsidDel="00000000" w:rsidP="00000000" w:rsidRDefault="00000000" w:rsidRPr="00000000" w14:paraId="0000006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0466" cy="987524"/>
            <wp:effectExtent b="0" l="0" r="0" t="0"/>
            <wp:docPr id="24" name="image23.png"/>
            <a:graphic>
              <a:graphicData uri="http://schemas.openxmlformats.org/drawingml/2006/picture">
                <pic:pic>
                  <pic:nvPicPr>
                    <pic:cNvPr id="0" name="image23.png"/>
                    <pic:cNvPicPr preferRelativeResize="0"/>
                  </pic:nvPicPr>
                  <pic:blipFill>
                    <a:blip r:embed="rId24"/>
                    <a:srcRect b="60082" l="5149" r="50664" t="26305"/>
                    <a:stretch>
                      <a:fillRect/>
                    </a:stretch>
                  </pic:blipFill>
                  <pic:spPr>
                    <a:xfrm>
                      <a:off x="0" y="0"/>
                      <a:ext cx="5710466" cy="98752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4594" cy="1438649"/>
            <wp:effectExtent b="0" l="0" r="0" t="0"/>
            <wp:docPr id="20" name="image19.png"/>
            <a:graphic>
              <a:graphicData uri="http://schemas.openxmlformats.org/drawingml/2006/picture">
                <pic:pic>
                  <pic:nvPicPr>
                    <pic:cNvPr id="0" name="image19.png"/>
                    <pic:cNvPicPr preferRelativeResize="0"/>
                  </pic:nvPicPr>
                  <pic:blipFill>
                    <a:blip r:embed="rId25"/>
                    <a:srcRect b="9917" l="830" r="56644" t="71250"/>
                    <a:stretch>
                      <a:fillRect/>
                    </a:stretch>
                  </pic:blipFill>
                  <pic:spPr>
                    <a:xfrm>
                      <a:off x="0" y="0"/>
                      <a:ext cx="5754594" cy="143864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The p-value of the test is lower than 0.05 → the Difference level 1 of cash holding data is stationary.</w:t>
      </w:r>
    </w:p>
    <w:p w:rsidR="00000000" w:rsidDel="00000000" w:rsidP="00000000" w:rsidRDefault="00000000" w:rsidRPr="00000000" w14:paraId="0000006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Then I will run the AUTO ARIMA function to find the best model:</w:t>
      </w:r>
    </w:p>
    <w:p w:rsidR="00000000" w:rsidDel="00000000" w:rsidP="00000000" w:rsidRDefault="00000000" w:rsidRPr="00000000" w14:paraId="0000007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00588" cy="3877985"/>
            <wp:effectExtent b="0" l="0" r="0" t="0"/>
            <wp:docPr id="19" name="image20.png"/>
            <a:graphic>
              <a:graphicData uri="http://schemas.openxmlformats.org/drawingml/2006/picture">
                <pic:pic>
                  <pic:nvPicPr>
                    <pic:cNvPr id="0" name="image20.png"/>
                    <pic:cNvPicPr preferRelativeResize="0"/>
                  </pic:nvPicPr>
                  <pic:blipFill>
                    <a:blip r:embed="rId26"/>
                    <a:srcRect b="10350" l="830" r="65946" t="40981"/>
                    <a:stretch>
                      <a:fillRect/>
                    </a:stretch>
                  </pic:blipFill>
                  <pic:spPr>
                    <a:xfrm>
                      <a:off x="0" y="0"/>
                      <a:ext cx="4700588" cy="387798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Best model for the data is ARIMA(0,0,2)</w:t>
      </w:r>
    </w:p>
    <w:p w:rsidR="00000000" w:rsidDel="00000000" w:rsidP="00000000" w:rsidRDefault="00000000" w:rsidRPr="00000000" w14:paraId="0000007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 I will conduct the test for the residuals:</w:t>
      </w:r>
    </w:p>
    <w:p w:rsidR="00000000" w:rsidDel="00000000" w:rsidP="00000000" w:rsidRDefault="00000000" w:rsidRPr="00000000" w14:paraId="0000007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92500"/>
            <wp:effectExtent b="0" l="0" r="0" t="0"/>
            <wp:docPr id="26"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92500"/>
            <wp:effectExtent b="0" l="0" r="0" t="0"/>
            <wp:docPr id="27"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can see that the residuals are independent because their correlation are 0 at 5% significance level.</w:t>
      </w:r>
    </w:p>
    <w:p w:rsidR="00000000" w:rsidDel="00000000" w:rsidP="00000000" w:rsidRDefault="00000000" w:rsidRPr="00000000" w14:paraId="0000007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Let’s conduct the Box-Ljung test</w:t>
      </w:r>
    </w:p>
    <w:p w:rsidR="00000000" w:rsidDel="00000000" w:rsidP="00000000" w:rsidRDefault="00000000" w:rsidRPr="00000000" w14:paraId="0000007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91175" cy="1390650"/>
            <wp:effectExtent b="0" l="0" r="0" t="0"/>
            <wp:docPr id="3" name="image3.png"/>
            <a:graphic>
              <a:graphicData uri="http://schemas.openxmlformats.org/drawingml/2006/picture">
                <pic:pic>
                  <pic:nvPicPr>
                    <pic:cNvPr id="0" name="image3.png"/>
                    <pic:cNvPicPr preferRelativeResize="0"/>
                  </pic:nvPicPr>
                  <pic:blipFill>
                    <a:blip r:embed="rId29"/>
                    <a:srcRect b="11005" l="695" r="65282" t="73977"/>
                    <a:stretch>
                      <a:fillRect/>
                    </a:stretch>
                  </pic:blipFill>
                  <pic:spPr>
                    <a:xfrm>
                      <a:off x="0" y="0"/>
                      <a:ext cx="55911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The p-value is greater than 0.05 → The residuals are independent.</w:t>
      </w:r>
    </w:p>
    <w:p w:rsidR="00000000" w:rsidDel="00000000" w:rsidP="00000000" w:rsidRDefault="00000000" w:rsidRPr="00000000" w14:paraId="0000007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Then I will evaluate the distribution of residuals:</w:t>
      </w:r>
    </w:p>
    <w:p w:rsidR="00000000" w:rsidDel="00000000" w:rsidP="00000000" w:rsidRDefault="00000000" w:rsidRPr="00000000" w14:paraId="0000007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92500"/>
            <wp:effectExtent b="0" l="0" r="0" t="0"/>
            <wp:docPr id="2"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92500"/>
            <wp:effectExtent b="0" l="0" r="0" t="0"/>
            <wp:docPr id="25"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the density plot and the normal QQ plot we can see that the residuals are normally distributed.</w:t>
      </w:r>
    </w:p>
    <w:p w:rsidR="00000000" w:rsidDel="00000000" w:rsidP="00000000" w:rsidRDefault="00000000" w:rsidRPr="00000000" w14:paraId="0000008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conclusion, the residuals of the model is IID (independent and identically distributed).</w:t>
      </w:r>
    </w:p>
    <w:p w:rsidR="00000000" w:rsidDel="00000000" w:rsidP="00000000" w:rsidRDefault="00000000" w:rsidRPr="00000000" w14:paraId="00000082">
      <w:pPr>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 The fitted model is good.</w:t>
      </w:r>
    </w:p>
    <w:p w:rsidR="00000000" w:rsidDel="00000000" w:rsidP="00000000" w:rsidRDefault="00000000" w:rsidRPr="00000000" w14:paraId="0000008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Finally, I will do the prediction for 4 quarters in 2022 using this model and plot the predictions:</w:t>
      </w:r>
    </w:p>
    <w:p w:rsidR="00000000" w:rsidDel="00000000" w:rsidP="00000000" w:rsidRDefault="00000000" w:rsidRPr="00000000" w14:paraId="0000008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8350" cy="1114425"/>
            <wp:effectExtent b="0" l="0" r="0" t="0"/>
            <wp:docPr id="21" name="image27.png"/>
            <a:graphic>
              <a:graphicData uri="http://schemas.openxmlformats.org/drawingml/2006/picture">
                <pic:pic>
                  <pic:nvPicPr>
                    <pic:cNvPr id="0" name="image27.png"/>
                    <pic:cNvPicPr preferRelativeResize="0"/>
                  </pic:nvPicPr>
                  <pic:blipFill>
                    <a:blip r:embed="rId32"/>
                    <a:srcRect b="12477" l="2823" r="52823" t="72566"/>
                    <a:stretch>
                      <a:fillRect/>
                    </a:stretch>
                  </pic:blipFill>
                  <pic:spPr>
                    <a:xfrm>
                      <a:off x="0" y="0"/>
                      <a:ext cx="58483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92500"/>
            <wp:effectExtent b="0" l="0" r="0" t="0"/>
            <wp:docPr id="18"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4"/>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Explain in fewer than 150 words how Random forest can be used in this case to predict the variable of interest for the 4 quarters in 2022. </w:t>
      </w:r>
    </w:p>
    <w:p w:rsidR="00000000" w:rsidDel="00000000" w:rsidP="00000000" w:rsidRDefault="00000000" w:rsidRPr="00000000" w14:paraId="00000089">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Random Forest predicts the Cash Holding of period t. It will create decision trees by randomly picking the Cash Holding  from the past (period t-n). Each tree will pick a different subset of the Cash Holding from the past (for example tree 1 picks Cash Holding in t-1 and t-2, tree 2 picks Cash Holding in t-2, t-4 and t-5). All the trees will analyze, learn and make their predictions. The final prediction is the average of predictions from all the trees.</w:t>
      </w:r>
    </w:p>
    <w:p w:rsidR="00000000" w:rsidDel="00000000" w:rsidP="00000000" w:rsidRDefault="00000000" w:rsidRPr="00000000" w14:paraId="0000008A">
      <w:pPr>
        <w:ind w:left="720" w:firstLine="0"/>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B">
      <w:pPr>
        <w:spacing w:after="240" w:before="240" w:line="259" w:lineRule="auto"/>
        <w:ind w:left="56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REFERENCES</w:t>
      </w:r>
    </w:p>
    <w:p w:rsidR="00000000" w:rsidDel="00000000" w:rsidP="00000000" w:rsidRDefault="00000000" w:rsidRPr="00000000" w14:paraId="0000008C">
      <w:pPr>
        <w:spacing w:after="240" w:before="240" w:line="259" w:lineRule="auto"/>
        <w:ind w:left="5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Al-Najjar, B. (2013). The financial determinants of corporate cash holdings: Evidence from some emerging markets. </w:t>
      </w:r>
      <w:r w:rsidDel="00000000" w:rsidR="00000000" w:rsidRPr="00000000">
        <w:rPr>
          <w:rFonts w:ascii="Times New Roman" w:cs="Times New Roman" w:eastAsia="Times New Roman" w:hAnsi="Times New Roman"/>
          <w:i w:val="1"/>
          <w:sz w:val="26"/>
          <w:szCs w:val="26"/>
          <w:rtl w:val="0"/>
        </w:rPr>
        <w:t xml:space="preserve">International Business Review</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22</w:t>
      </w:r>
      <w:r w:rsidDel="00000000" w:rsidR="00000000" w:rsidRPr="00000000">
        <w:rPr>
          <w:rFonts w:ascii="Times New Roman" w:cs="Times New Roman" w:eastAsia="Times New Roman" w:hAnsi="Times New Roman"/>
          <w:sz w:val="26"/>
          <w:szCs w:val="26"/>
          <w:rtl w:val="0"/>
        </w:rPr>
        <w:t xml:space="preserve">(1), 77–88. https://doi.org/10.1016/j.ibusrev.2012.02.004</w:t>
      </w:r>
    </w:p>
    <w:p w:rsidR="00000000" w:rsidDel="00000000" w:rsidP="00000000" w:rsidRDefault="00000000" w:rsidRPr="00000000" w14:paraId="0000008D">
      <w:pPr>
        <w:spacing w:after="240" w:before="240" w:line="259" w:lineRule="auto"/>
        <w:ind w:left="5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Attaullah Shah. (2011). The Corporate Cash Holdings: Determinants and implications. </w:t>
      </w:r>
      <w:r w:rsidDel="00000000" w:rsidR="00000000" w:rsidRPr="00000000">
        <w:rPr>
          <w:rFonts w:ascii="Times New Roman" w:cs="Times New Roman" w:eastAsia="Times New Roman" w:hAnsi="Times New Roman"/>
          <w:i w:val="1"/>
          <w:sz w:val="26"/>
          <w:szCs w:val="26"/>
          <w:rtl w:val="0"/>
        </w:rPr>
        <w:t xml:space="preserve">AFRICAN JOURNAL OF BUSINESS MANAGEMENT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5</w:t>
      </w:r>
      <w:r w:rsidDel="00000000" w:rsidR="00000000" w:rsidRPr="00000000">
        <w:rPr>
          <w:rFonts w:ascii="Times New Roman" w:cs="Times New Roman" w:eastAsia="Times New Roman" w:hAnsi="Times New Roman"/>
          <w:sz w:val="26"/>
          <w:szCs w:val="26"/>
          <w:rtl w:val="0"/>
        </w:rPr>
        <w:t xml:space="preserve">(34). https://doi.org/10.5897/ajbm11.2635</w:t>
      </w:r>
    </w:p>
    <w:p w:rsidR="00000000" w:rsidDel="00000000" w:rsidP="00000000" w:rsidRDefault="00000000" w:rsidRPr="00000000" w14:paraId="0000008E">
      <w:pPr>
        <w:spacing w:after="240" w:before="240" w:line="259" w:lineRule="auto"/>
        <w:ind w:left="5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Azmat, Q.-ul-ann. (2014). Firm value and optimal cash level: Evidence from Pakistan. </w:t>
      </w:r>
      <w:r w:rsidDel="00000000" w:rsidR="00000000" w:rsidRPr="00000000">
        <w:rPr>
          <w:rFonts w:ascii="Times New Roman" w:cs="Times New Roman" w:eastAsia="Times New Roman" w:hAnsi="Times New Roman"/>
          <w:i w:val="1"/>
          <w:sz w:val="26"/>
          <w:szCs w:val="26"/>
          <w:rtl w:val="0"/>
        </w:rPr>
        <w:t xml:space="preserve">International Journal of Emerging Markets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9</w:t>
      </w:r>
      <w:r w:rsidDel="00000000" w:rsidR="00000000" w:rsidRPr="00000000">
        <w:rPr>
          <w:rFonts w:ascii="Times New Roman" w:cs="Times New Roman" w:eastAsia="Times New Roman" w:hAnsi="Times New Roman"/>
          <w:sz w:val="26"/>
          <w:szCs w:val="26"/>
          <w:rtl w:val="0"/>
        </w:rPr>
        <w:t xml:space="preserve">(4), 488–504. https://doi.org/10.1108/ijoem-11-2011-0104 </w:t>
      </w:r>
    </w:p>
    <w:p w:rsidR="00000000" w:rsidDel="00000000" w:rsidP="00000000" w:rsidRDefault="00000000" w:rsidRPr="00000000" w14:paraId="0000008F">
      <w:pPr>
        <w:spacing w:after="240" w:before="240" w:line="259" w:lineRule="auto"/>
        <w:ind w:left="5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Herlambang, A., R. Murhadi, W., &amp; Cendrati, D. (2019). Factors affecting company’s cash holding. </w:t>
      </w:r>
      <w:r w:rsidDel="00000000" w:rsidR="00000000" w:rsidRPr="00000000">
        <w:rPr>
          <w:rFonts w:ascii="Times New Roman" w:cs="Times New Roman" w:eastAsia="Times New Roman" w:hAnsi="Times New Roman"/>
          <w:i w:val="1"/>
          <w:sz w:val="26"/>
          <w:szCs w:val="26"/>
          <w:rtl w:val="0"/>
        </w:rPr>
        <w:t xml:space="preserve">Proceedings of the 16th International Symposium on Management (INSYMA 2019)</w:t>
      </w:r>
      <w:r w:rsidDel="00000000" w:rsidR="00000000" w:rsidRPr="00000000">
        <w:rPr>
          <w:rFonts w:ascii="Times New Roman" w:cs="Times New Roman" w:eastAsia="Times New Roman" w:hAnsi="Times New Roman"/>
          <w:sz w:val="26"/>
          <w:szCs w:val="26"/>
          <w:rtl w:val="0"/>
        </w:rPr>
        <w:t xml:space="preserve">. https://doi.org/10.2991/insyma-19.2019.7</w:t>
      </w:r>
    </w:p>
    <w:p w:rsidR="00000000" w:rsidDel="00000000" w:rsidP="00000000" w:rsidRDefault="00000000" w:rsidRPr="00000000" w14:paraId="00000090">
      <w:pPr>
        <w:spacing w:after="240" w:before="240" w:line="259" w:lineRule="auto"/>
        <w:ind w:left="5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Nguyen Thanh. (2019). Optimal cash holding ratio for non-financial firms in Vietnam Stock Exchange Market. </w:t>
      </w:r>
      <w:r w:rsidDel="00000000" w:rsidR="00000000" w:rsidRPr="00000000">
        <w:rPr>
          <w:rFonts w:ascii="Times New Roman" w:cs="Times New Roman" w:eastAsia="Times New Roman" w:hAnsi="Times New Roman"/>
          <w:i w:val="1"/>
          <w:sz w:val="26"/>
          <w:szCs w:val="26"/>
          <w:rtl w:val="0"/>
        </w:rPr>
        <w:t xml:space="preserve">Journal of Risk and Financial Management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12</w:t>
      </w:r>
      <w:r w:rsidDel="00000000" w:rsidR="00000000" w:rsidRPr="00000000">
        <w:rPr>
          <w:rFonts w:ascii="Times New Roman" w:cs="Times New Roman" w:eastAsia="Times New Roman" w:hAnsi="Times New Roman"/>
          <w:sz w:val="26"/>
          <w:szCs w:val="26"/>
          <w:rtl w:val="0"/>
        </w:rPr>
        <w:t xml:space="preserve">(2), 104. https://doi.org/10.3390/jrfm12020104</w:t>
      </w:r>
    </w:p>
    <w:p w:rsidR="00000000" w:rsidDel="00000000" w:rsidP="00000000" w:rsidRDefault="00000000" w:rsidRPr="00000000" w14:paraId="00000091">
      <w:pPr>
        <w:spacing w:after="240" w:before="240" w:line="259" w:lineRule="auto"/>
        <w:ind w:left="5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Nguyen, T. L., Nguyen, L. N., &amp; Le, T. P. (2016). Firm value, corporate cash holdings and financial constraint: A study from a developing market. </w:t>
      </w:r>
      <w:r w:rsidDel="00000000" w:rsidR="00000000" w:rsidRPr="00000000">
        <w:rPr>
          <w:rFonts w:ascii="Times New Roman" w:cs="Times New Roman" w:eastAsia="Times New Roman" w:hAnsi="Times New Roman"/>
          <w:i w:val="1"/>
          <w:sz w:val="26"/>
          <w:szCs w:val="26"/>
          <w:rtl w:val="0"/>
        </w:rPr>
        <w:t xml:space="preserve">Australian Economic Papers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55</w:t>
      </w:r>
      <w:r w:rsidDel="00000000" w:rsidR="00000000" w:rsidRPr="00000000">
        <w:rPr>
          <w:rFonts w:ascii="Times New Roman" w:cs="Times New Roman" w:eastAsia="Times New Roman" w:hAnsi="Times New Roman"/>
          <w:sz w:val="26"/>
          <w:szCs w:val="26"/>
          <w:rtl w:val="0"/>
        </w:rPr>
        <w:t xml:space="preserve">(4), 368–385. https://doi.org/10.1111/1467-8454.12082 </w:t>
      </w:r>
    </w:p>
    <w:p w:rsidR="00000000" w:rsidDel="00000000" w:rsidP="00000000" w:rsidRDefault="00000000" w:rsidRPr="00000000" w14:paraId="00000092">
      <w:pPr>
        <w:spacing w:after="240" w:before="240" w:line="259" w:lineRule="auto"/>
        <w:ind w:left="5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Ozkan, A., &amp; Ozkan, N. (2004). Corporate cash holdings: An empirical investigation of UK companies. </w:t>
      </w:r>
      <w:r w:rsidDel="00000000" w:rsidR="00000000" w:rsidRPr="00000000">
        <w:rPr>
          <w:rFonts w:ascii="Times New Roman" w:cs="Times New Roman" w:eastAsia="Times New Roman" w:hAnsi="Times New Roman"/>
          <w:i w:val="1"/>
          <w:sz w:val="26"/>
          <w:szCs w:val="26"/>
          <w:rtl w:val="0"/>
        </w:rPr>
        <w:t xml:space="preserve">Journal of Banking &amp; Finance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28</w:t>
      </w:r>
      <w:r w:rsidDel="00000000" w:rsidR="00000000" w:rsidRPr="00000000">
        <w:rPr>
          <w:rFonts w:ascii="Times New Roman" w:cs="Times New Roman" w:eastAsia="Times New Roman" w:hAnsi="Times New Roman"/>
          <w:sz w:val="26"/>
          <w:szCs w:val="26"/>
          <w:rtl w:val="0"/>
        </w:rPr>
        <w:t xml:space="preserve">(9), 2103–2134. https://doi.org/10.1016/j.jbankfin.2003.08.003</w:t>
      </w:r>
    </w:p>
    <w:p w:rsidR="00000000" w:rsidDel="00000000" w:rsidP="00000000" w:rsidRDefault="00000000" w:rsidRPr="00000000" w14:paraId="00000093">
      <w:pPr>
        <w:spacing w:after="240" w:before="240" w:line="259" w:lineRule="auto"/>
        <w:ind w:left="5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Racic, Z., &amp; Stanisic, N. (2017). Analysis of the determinants of corporate cash holdings: Examples from companies in Serbia. </w:t>
      </w:r>
      <w:r w:rsidDel="00000000" w:rsidR="00000000" w:rsidRPr="00000000">
        <w:rPr>
          <w:rFonts w:ascii="Times New Roman" w:cs="Times New Roman" w:eastAsia="Times New Roman" w:hAnsi="Times New Roman"/>
          <w:i w:val="1"/>
          <w:sz w:val="26"/>
          <w:szCs w:val="26"/>
          <w:rtl w:val="0"/>
        </w:rPr>
        <w:t xml:space="preserve">The European Journal of Applied Economics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14</w:t>
      </w:r>
      <w:r w:rsidDel="00000000" w:rsidR="00000000" w:rsidRPr="00000000">
        <w:rPr>
          <w:rFonts w:ascii="Times New Roman" w:cs="Times New Roman" w:eastAsia="Times New Roman" w:hAnsi="Times New Roman"/>
          <w:sz w:val="26"/>
          <w:szCs w:val="26"/>
          <w:rtl w:val="0"/>
        </w:rPr>
        <w:t xml:space="preserve">(1), 13–23. https://doi.org/10.5937/ejae14-13574 </w:t>
      </w:r>
    </w:p>
    <w:p w:rsidR="00000000" w:rsidDel="00000000" w:rsidP="00000000" w:rsidRDefault="00000000" w:rsidRPr="00000000" w14:paraId="00000094">
      <w:pPr>
        <w:spacing w:after="240" w:before="240" w:line="259" w:lineRule="auto"/>
        <w:ind w:left="5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Yun, J., Ahmad, H., Jebran, K., &amp; Muhammad, S. (2020). Cash holdings and firm performance relationship: Do firm-specific factors matter? </w:t>
      </w:r>
      <w:r w:rsidDel="00000000" w:rsidR="00000000" w:rsidRPr="00000000">
        <w:rPr>
          <w:rFonts w:ascii="Times New Roman" w:cs="Times New Roman" w:eastAsia="Times New Roman" w:hAnsi="Times New Roman"/>
          <w:i w:val="1"/>
          <w:sz w:val="26"/>
          <w:szCs w:val="26"/>
          <w:rtl w:val="0"/>
        </w:rPr>
        <w:t xml:space="preserve">Economic Research-Ekonomska Istraživanja</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34</w:t>
      </w:r>
      <w:r w:rsidDel="00000000" w:rsidR="00000000" w:rsidRPr="00000000">
        <w:rPr>
          <w:rFonts w:ascii="Times New Roman" w:cs="Times New Roman" w:eastAsia="Times New Roman" w:hAnsi="Times New Roman"/>
          <w:sz w:val="26"/>
          <w:szCs w:val="26"/>
          <w:rtl w:val="0"/>
        </w:rPr>
        <w:t xml:space="preserve">(1), 1283–1305. https://doi.org/10.1080/1331677x.2020.1823241  </w:t>
      </w:r>
    </w:p>
    <w:p w:rsidR="00000000" w:rsidDel="00000000" w:rsidP="00000000" w:rsidRDefault="00000000" w:rsidRPr="00000000" w14:paraId="00000095">
      <w:pPr>
        <w:spacing w:after="240" w:before="240" w:line="259" w:lineRule="auto"/>
        <w:ind w:left="56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sz w:val="26"/>
          <w:szCs w:val="26"/>
          <w:rtl w:val="0"/>
        </w:rPr>
        <w:t xml:space="preserve">[10] </w:t>
      </w:r>
      <w:r w:rsidDel="00000000" w:rsidR="00000000" w:rsidRPr="00000000">
        <w:rPr>
          <w:rFonts w:ascii="Times New Roman" w:cs="Times New Roman" w:eastAsia="Times New Roman" w:hAnsi="Times New Roman"/>
          <w:color w:val="222222"/>
          <w:sz w:val="26"/>
          <w:szCs w:val="26"/>
          <w:highlight w:val="white"/>
          <w:rtl w:val="0"/>
        </w:rPr>
        <w:t xml:space="preserve">Thu, P. A. (2018). Factors effect on corporate cash holdings of the energy enterprises listed on Vietnam's stock market.</w:t>
      </w:r>
    </w:p>
    <w:p w:rsidR="00000000" w:rsidDel="00000000" w:rsidP="00000000" w:rsidRDefault="00000000" w:rsidRPr="00000000" w14:paraId="00000096">
      <w:pPr>
        <w:spacing w:after="240" w:before="240" w:line="259" w:lineRule="auto"/>
        <w:ind w:left="5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6"/>
          <w:szCs w:val="26"/>
          <w:highlight w:val="white"/>
          <w:rtl w:val="0"/>
        </w:rPr>
        <w:t xml:space="preserve">[11] Kim, C.S., Mauer, D.C., Sherman, A.E. (1998), The determinants of corporate liquidity: Theory and evidence. Journal of Financial and Quantitative Analysis, 33(3), 335-359.</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png"/><Relationship Id="rId21" Type="http://schemas.openxmlformats.org/officeDocument/2006/relationships/image" Target="media/image16.png"/><Relationship Id="rId24" Type="http://schemas.openxmlformats.org/officeDocument/2006/relationships/image" Target="media/image2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0.png"/><Relationship Id="rId25" Type="http://schemas.openxmlformats.org/officeDocument/2006/relationships/image" Target="media/image19.png"/><Relationship Id="rId28" Type="http://schemas.openxmlformats.org/officeDocument/2006/relationships/image" Target="media/image21.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hyperlink" Target="https://www.sciencedirect.com/science/article/pii/S0378426603002292" TargetMode="External"/><Relationship Id="rId29"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18.png"/><Relationship Id="rId31" Type="http://schemas.openxmlformats.org/officeDocument/2006/relationships/image" Target="media/image24.png"/><Relationship Id="rId30" Type="http://schemas.openxmlformats.org/officeDocument/2006/relationships/image" Target="media/image12.png"/><Relationship Id="rId11" Type="http://schemas.openxmlformats.org/officeDocument/2006/relationships/image" Target="media/image6.png"/><Relationship Id="rId33" Type="http://schemas.openxmlformats.org/officeDocument/2006/relationships/image" Target="media/image9.png"/><Relationship Id="rId10" Type="http://schemas.openxmlformats.org/officeDocument/2006/relationships/image" Target="media/image13.png"/><Relationship Id="rId32" Type="http://schemas.openxmlformats.org/officeDocument/2006/relationships/image" Target="media/image27.png"/><Relationship Id="rId13" Type="http://schemas.openxmlformats.org/officeDocument/2006/relationships/image" Target="media/image17.png"/><Relationship Id="rId12" Type="http://schemas.openxmlformats.org/officeDocument/2006/relationships/image" Target="media/image15.png"/><Relationship Id="rId15" Type="http://schemas.openxmlformats.org/officeDocument/2006/relationships/image" Target="media/image5.png"/><Relationship Id="rId14" Type="http://schemas.openxmlformats.org/officeDocument/2006/relationships/image" Target="media/image8.png"/><Relationship Id="rId17" Type="http://schemas.openxmlformats.org/officeDocument/2006/relationships/image" Target="media/image14.png"/><Relationship Id="rId16" Type="http://schemas.openxmlformats.org/officeDocument/2006/relationships/image" Target="media/image26.png"/><Relationship Id="rId19" Type="http://schemas.openxmlformats.org/officeDocument/2006/relationships/image" Target="media/image7.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